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D8" w:rsidRDefault="009904D8" w:rsidP="009904D8">
      <w:pPr>
        <w:pStyle w:val="a4"/>
        <w:spacing w:before="0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Додаток 1</w:t>
      </w:r>
    </w:p>
    <w:p w:rsidR="009904D8" w:rsidRDefault="009904D8" w:rsidP="009904D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ТЕХНІЧНЕ ЗАВДАННЯ</w:t>
      </w:r>
    </w:p>
    <w:p w:rsidR="009904D8" w:rsidRDefault="009904D8" w:rsidP="009904D8">
      <w:pPr>
        <w:tabs>
          <w:tab w:val="left" w:pos="0"/>
        </w:tabs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Послуги з аудиту  фінансової звітності </w:t>
      </w:r>
      <w:r>
        <w:rPr>
          <w:sz w:val="22"/>
          <w:szCs w:val="22"/>
          <w:lang w:val="uk-UA"/>
        </w:rPr>
        <w:t>надаються</w:t>
      </w:r>
      <w:r>
        <w:rPr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з метою висловлення Виконавцем думки щодо того, чи відображає фінансова звітність Замовника достовірно, в усіх суттєвих аспектах його фінансовий стан станом на 31 грудня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р. та фінансові результати і грошові потоки за рік, що закінчився зазначеною датою, відповідно до Міжнародних стандартів фінансової звітності («МСФЗ») та дотримання Виконавцем вимог Порядку складання звітних даних страховиків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р. </w:t>
      </w:r>
    </w:p>
    <w:p w:rsidR="009904D8" w:rsidRDefault="009904D8" w:rsidP="009904D8">
      <w:pPr>
        <w:tabs>
          <w:tab w:val="left" w:pos="0"/>
        </w:tabs>
        <w:rPr>
          <w:bCs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</w:t>
      </w:r>
      <w:r>
        <w:rPr>
          <w:bCs/>
          <w:color w:val="000000"/>
          <w:sz w:val="22"/>
          <w:szCs w:val="22"/>
          <w:lang w:val="uk-UA"/>
        </w:rPr>
        <w:t xml:space="preserve">бов’язок проведення аудиту та складання звітності по міжнародним стандартам закріплені Законом від 16.07.1999 №996-XIV «Про бухгалтерський облік та фінансову звітність в Україні» , вимоги щодо складання звітності страховика закріплені в </w:t>
      </w:r>
      <w:r>
        <w:rPr>
          <w:sz w:val="22"/>
          <w:szCs w:val="22"/>
          <w:lang w:val="uk-UA"/>
        </w:rPr>
        <w:t>Порядку складання звітних даних страховиків, який затверджений Розпорядженням Державної комісії з регулювання ринків фінансових послуг України 03.02.2004р. за № 39 та Змінами до Порядку складання звітних даних страховиків, що затверджені Розпорядженням Національної комісії, що здійснює державне регулювання у сфері ринків фінансових послуг 24.11.2016р. за № 2924.</w:t>
      </w:r>
    </w:p>
    <w:p w:rsidR="009904D8" w:rsidRDefault="009904D8" w:rsidP="009904D8">
      <w:pPr>
        <w:pStyle w:val="Default"/>
        <w:ind w:firstLine="708"/>
        <w:jc w:val="both"/>
        <w:rPr>
          <w:color w:val="auto"/>
          <w:sz w:val="22"/>
          <w:szCs w:val="22"/>
          <w:lang w:val="uk-UA" w:eastAsia="en-US"/>
        </w:rPr>
      </w:pPr>
      <w:r>
        <w:rPr>
          <w:sz w:val="22"/>
          <w:szCs w:val="22"/>
          <w:lang w:val="uk-UA"/>
        </w:rPr>
        <w:t xml:space="preserve">Умови надання/виконання послуг: </w:t>
      </w:r>
      <w:r>
        <w:rPr>
          <w:color w:val="auto"/>
          <w:sz w:val="22"/>
          <w:szCs w:val="22"/>
          <w:lang w:val="uk-UA" w:eastAsia="en-US"/>
        </w:rPr>
        <w:t xml:space="preserve">аудиторська фірма повинна відповідати нормам Закону України «Про аудит фінансової звітності та аудиторську діяльність» (далі - Закон), невідповідність будь-яким пунктам Закону є підставою для відхилення пропозицій учасників. </w:t>
      </w:r>
    </w:p>
    <w:p w:rsidR="009904D8" w:rsidRDefault="009904D8" w:rsidP="009904D8">
      <w:pPr>
        <w:tabs>
          <w:tab w:val="left" w:pos="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Обсяги послуг: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  </w:t>
      </w:r>
      <w:r>
        <w:rPr>
          <w:bCs/>
          <w:sz w:val="22"/>
          <w:szCs w:val="22"/>
          <w:lang w:val="uk-UA"/>
        </w:rPr>
        <w:t xml:space="preserve">Метою аудиту  фінансової звітності </w:t>
      </w:r>
      <w:r>
        <w:rPr>
          <w:sz w:val="22"/>
          <w:szCs w:val="22"/>
          <w:lang w:val="uk-UA"/>
        </w:rPr>
        <w:t xml:space="preserve"> є висловлення Виконавцем думки щодо того, чи відображає фінансова звітність Замовника достовірно, в усіх суттєвих аспектах його фінансовий стан станом на 31 грудня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р. та фінансові результати і грошові потоки за рік, що закінчився зазначеною датою, відповідно до Міжнародних стандартів фінансової звітності («МСФЗ») та надання висновку, щодо дотримання Замовником вимог Порядку складання звітних даних страховиків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рік та підтвердження таких критеріїв та показників діяльності Замовника станом на 31 грудня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року.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висловлення своєї думки щодо фінансової звітності складеної за МСФЗ та звітних даних страховика Замовника, Виконавець зобов’язаний провести в необхідному обсязі аудиторські процедури, передбачені стандартами і нормативами аудиту. </w:t>
      </w:r>
    </w:p>
    <w:p w:rsidR="009904D8" w:rsidRDefault="009904D8" w:rsidP="009904D8">
      <w:pPr>
        <w:suppressAutoHyphens/>
        <w:ind w:firstLine="851"/>
        <w:outlineLvl w:val="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1.1. Аудит фінансової звітності  складеної у  відповідності  до МСФЗ України  та звітних даних страховика здійснюється за період з 01.01.1</w:t>
      </w:r>
      <w:r w:rsidRPr="009904D8">
        <w:rPr>
          <w:sz w:val="22"/>
          <w:szCs w:val="22"/>
        </w:rPr>
        <w:t>9</w:t>
      </w:r>
      <w:r>
        <w:rPr>
          <w:sz w:val="22"/>
          <w:szCs w:val="22"/>
          <w:lang w:val="uk-UA"/>
        </w:rPr>
        <w:t>р. по 31.12.1</w:t>
      </w:r>
      <w:r w:rsidRPr="009904D8">
        <w:rPr>
          <w:sz w:val="22"/>
          <w:szCs w:val="22"/>
        </w:rPr>
        <w:t>9</w:t>
      </w:r>
      <w:r>
        <w:rPr>
          <w:sz w:val="22"/>
          <w:szCs w:val="22"/>
          <w:lang w:val="uk-UA"/>
        </w:rPr>
        <w:t>р. та включає: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Проведення аудиту фінансової звітності, за результатами фінансово-економічної діяльності </w:t>
      </w:r>
      <w:proofErr w:type="spellStart"/>
      <w:r>
        <w:rPr>
          <w:sz w:val="22"/>
          <w:szCs w:val="22"/>
          <w:lang w:val="uk-UA"/>
        </w:rPr>
        <w:t>ПрАТ</w:t>
      </w:r>
      <w:proofErr w:type="spellEnd"/>
      <w:r>
        <w:rPr>
          <w:sz w:val="22"/>
          <w:szCs w:val="22"/>
          <w:lang w:val="uk-UA"/>
        </w:rPr>
        <w:t xml:space="preserve"> «СК «Київська Русь» станом на 31.12.1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>р., що складається з: Балансу (Звіт про фінансовий стан)  станом на 31 грудня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року, Звіту про фінансові результати (Звіт про сукупний дохід)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рік, Звіт про рух грошових коштів (за прямим методом) за 2018 рік, Звіту про власний капіталі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рік, Приміток до річної фінансової звітності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рік (надалі разом іменується - Фінансова звітність Замовника за МСФЗ, підготовлених відповідно до МСБО та МСФЗ, звітних даних страховика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рік.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Аудит проводиться відповідно до Закону України від 21.12.2017 року № 2258-VIII (зі змінами та доповненнями) «Аудит фінансової звітності та аудиторську діяльність»  та відповідно до аудиторських стандартів розроблених Міжнародною радою з аудиторських стандартів Міжнародної федерації бухгалтерів згідно зі МСА.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1.2. Після надання послуг з аудиту Виконавець повинен надати  п</w:t>
      </w:r>
      <w:r>
        <w:rPr>
          <w:sz w:val="22"/>
          <w:szCs w:val="22"/>
          <w:lang w:val="uk-UA" w:eastAsia="en-US"/>
        </w:rPr>
        <w:t>исьмовий Аудиторський звіт щодо ф</w:t>
      </w:r>
      <w:r>
        <w:rPr>
          <w:sz w:val="22"/>
          <w:szCs w:val="22"/>
          <w:lang w:val="uk-UA"/>
        </w:rPr>
        <w:t>інансової звітності за МСФЗ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рік, складеної у відповідності до вимог МСФЗ підготовленої станом на 31.12.1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>р. та Звіт з надання впевненості щодо дотримання вимог Порядку складання звітних даних страховиків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рік. 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Аудиторський звіт  повинен  ґрунтуватися на результатах аудиту й містити аудиторські оцінки:  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а) опис та оцінку ризиків щодо суттєвого викривлення інформації у фінансовій звітності Замовника, що перевіряється, зокрема внаслідок шахрайства;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б) чітке посилання на відповідну статтю або інше розкриття інформації у фінансовій звітності  для кожного опису та оцінки ризику суттєвого викривлення інформації у звітності, що перевіряється;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в) стислий опис заходів, вжитих аудитором для врегулювання таких ризиків;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г) основні застереження щодо таких ризиків.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Якщо в процесі надання послуг Виконавцем будуть виявлені істотні недоліки системи бухгалтерського обліку й внутрішнього контролю, Виконавець підготує листи з рекомендаціями, адресовані керівництву Замовника, з описом виявлених недоліків.</w:t>
      </w:r>
    </w:p>
    <w:p w:rsidR="009904D8" w:rsidRDefault="009904D8" w:rsidP="009904D8">
      <w:pPr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1.3. Виконавець зобов’язаний надати проекти Аудиторського звіту щодо фінансової звітності за МСФЗ станом на 31.12.1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р. та Звіту з надання впевненості щодо дотримання вимог </w:t>
      </w:r>
      <w:r>
        <w:rPr>
          <w:sz w:val="22"/>
          <w:szCs w:val="22"/>
          <w:lang w:val="uk-UA"/>
        </w:rPr>
        <w:lastRenderedPageBreak/>
        <w:t>Порядку складання звітних даних страховиків за 201</w:t>
      </w:r>
      <w:r w:rsidRPr="009904D8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 xml:space="preserve"> рік  не пізніше, ніж за 10 календарних днів до кінцевого строку надання остаточного Аудиторського звіту та Звіту з надання впевненості. </w:t>
      </w:r>
    </w:p>
    <w:p w:rsidR="009904D8" w:rsidRDefault="009904D8" w:rsidP="009904D8">
      <w:pPr>
        <w:ind w:firstLine="851"/>
        <w:rPr>
          <w:sz w:val="22"/>
          <w:szCs w:val="22"/>
          <w:lang w:val="uk-UA" w:eastAsia="en-US"/>
        </w:rPr>
      </w:pPr>
      <w:r>
        <w:rPr>
          <w:sz w:val="22"/>
          <w:szCs w:val="22"/>
          <w:lang w:val="uk-UA"/>
        </w:rPr>
        <w:t>1.4. Виконавець зобов’язаний надати 3 (три) комплектів Аудиторського Звіту та 2 (два) комплекти Звіту з надання впевненості</w:t>
      </w:r>
      <w:r>
        <w:rPr>
          <w:sz w:val="22"/>
          <w:szCs w:val="22"/>
          <w:lang w:val="uk-UA" w:eastAsia="en-US"/>
        </w:rPr>
        <w:t>.</w:t>
      </w:r>
    </w:p>
    <w:p w:rsidR="009904D8" w:rsidRDefault="009904D8" w:rsidP="009904D8">
      <w:pPr>
        <w:ind w:firstLine="851"/>
        <w:rPr>
          <w:sz w:val="22"/>
          <w:szCs w:val="22"/>
          <w:lang w:val="uk-UA" w:eastAsia="en-US"/>
        </w:rPr>
      </w:pPr>
      <w:r>
        <w:rPr>
          <w:sz w:val="22"/>
          <w:szCs w:val="22"/>
          <w:lang w:val="uk-UA" w:eastAsia="en-US"/>
        </w:rPr>
        <w:t>1.5.  Також Виконавець повинен:</w:t>
      </w:r>
    </w:p>
    <w:p w:rsidR="009904D8" w:rsidRDefault="009904D8" w:rsidP="009904D8">
      <w:pPr>
        <w:pStyle w:val="a6"/>
        <w:jc w:val="right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Таблиця № 1 </w:t>
      </w:r>
    </w:p>
    <w:tbl>
      <w:tblPr>
        <w:tblpPr w:leftFromText="180" w:rightFromText="180" w:vertAnchor="text" w:horzAnchor="margin" w:tblpXSpec="center" w:tblpY="74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9329"/>
      </w:tblGrid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04D8" w:rsidRDefault="009904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04D8" w:rsidRDefault="009904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Вимоги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 w:rsidP="009904D8">
            <w:pPr>
              <w:ind w:right="53" w:firstLine="0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Перевірити дотримання нормативу платоспроможності страховика станом на 31.12.201</w:t>
            </w:r>
            <w:r w:rsidRPr="009904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 w:rsidP="009904D8">
            <w:pPr>
              <w:ind w:right="53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Перевірити </w:t>
            </w:r>
            <w:r>
              <w:rPr>
                <w:sz w:val="22"/>
                <w:szCs w:val="22"/>
                <w:lang w:val="uk-UA"/>
              </w:rPr>
              <w:t xml:space="preserve"> дотримання нормативу достатності капіталу страховика  станом на 31.12.201</w:t>
            </w:r>
            <w:r w:rsidRPr="009904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 w:rsidP="009904D8">
            <w:pPr>
              <w:ind w:right="53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Перевірити </w:t>
            </w:r>
            <w:r>
              <w:rPr>
                <w:sz w:val="22"/>
                <w:szCs w:val="22"/>
                <w:lang w:val="uk-UA"/>
              </w:rPr>
              <w:t xml:space="preserve"> дотримання нормативу </w:t>
            </w:r>
            <w:proofErr w:type="spellStart"/>
            <w:r>
              <w:rPr>
                <w:sz w:val="22"/>
                <w:szCs w:val="22"/>
                <w:lang w:val="uk-UA"/>
              </w:rPr>
              <w:t>ризиковості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операцій страховика  станом на 31.12.201</w:t>
            </w:r>
            <w:r w:rsidRPr="009904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 w:rsidP="009904D8">
            <w:pPr>
              <w:ind w:right="53" w:firstLine="0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Перевірити </w:t>
            </w:r>
            <w:r>
              <w:rPr>
                <w:sz w:val="22"/>
                <w:szCs w:val="22"/>
                <w:lang w:val="uk-UA"/>
              </w:rPr>
              <w:t xml:space="preserve"> дотримання нормативу якості активів страховика  станом на 31.12.201</w:t>
            </w:r>
            <w:r w:rsidRPr="009904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ind w:right="53" w:firstLine="0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Перевірити відповідність (невідповідність) прийнятої керівництвом страховика облікової політики вимогам законодавства про бухгалтерський облік та фінансову звітність та міжнародним стандартам фінансової звітності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ind w:right="53" w:firstLine="0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Перевірити дотримання порядку ведення обліку договорів страхування і вимог (заяв) страхувальників щодо страхової виплати, який дозволяє страховику дотримуватися вимог до достатності формування резервів збитків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 w:rsidP="009904D8">
            <w:pPr>
              <w:ind w:right="53" w:firstLine="0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Провести оцінку можливості виконання страховиком прийнятих страхових та </w:t>
            </w:r>
            <w:proofErr w:type="spellStart"/>
            <w:r>
              <w:rPr>
                <w:sz w:val="22"/>
                <w:szCs w:val="22"/>
                <w:lang w:val="uk-UA"/>
              </w:rPr>
              <w:t>перестрахових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зобов’язань з урахуванням питомої ваги простроченої кредиторської та дебіторської заборгованості за такими зобов’язаннями у структурі страхового портфелю страховика станом на 31.12.201</w:t>
            </w:r>
            <w:r w:rsidRPr="009904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uk-UA"/>
              </w:rPr>
              <w:t>р.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 w:rsidP="009904D8">
            <w:pPr>
              <w:ind w:right="53" w:firstLine="0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Провести перевірку істотних операцій з активами, які здійснював страховик протягом 201</w:t>
            </w:r>
            <w:r w:rsidRPr="009904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uk-UA"/>
              </w:rPr>
              <w:t xml:space="preserve"> року, та які мали наслідком невиконання страховиком фінансових нормативів, встановлених </w:t>
            </w:r>
            <w:proofErr w:type="spellStart"/>
            <w:r>
              <w:rPr>
                <w:sz w:val="22"/>
                <w:szCs w:val="22"/>
                <w:lang w:val="uk-UA"/>
              </w:rPr>
              <w:t>Нацкомфінпослуг</w:t>
            </w:r>
            <w:proofErr w:type="spellEnd"/>
            <w:r>
              <w:rPr>
                <w:sz w:val="22"/>
                <w:szCs w:val="22"/>
                <w:lang w:val="uk-UA"/>
              </w:rPr>
              <w:t>, понад 10%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ind w:right="53" w:firstLine="0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Провести перевірку запровадження страховиком системи управління ризиками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04D8" w:rsidTr="009904D8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D8" w:rsidRDefault="009904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D8" w:rsidRDefault="009904D8">
            <w:pPr>
              <w:ind w:right="53" w:firstLine="0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Провести оцінку адекватності організації та проведення страховиком внутрішнього аудиту (контролю)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9904D8" w:rsidRDefault="009904D8" w:rsidP="009904D8">
      <w:pPr>
        <w:suppressAutoHyphens/>
        <w:ind w:firstLine="851"/>
        <w:outlineLvl w:val="0"/>
        <w:rPr>
          <w:sz w:val="22"/>
          <w:szCs w:val="22"/>
          <w:lang w:val="uk-UA"/>
        </w:rPr>
      </w:pPr>
    </w:p>
    <w:p w:rsidR="009904D8" w:rsidRDefault="009904D8" w:rsidP="009904D8">
      <w:pPr>
        <w:tabs>
          <w:tab w:val="left" w:pos="708"/>
          <w:tab w:val="left" w:pos="7655"/>
        </w:tabs>
        <w:ind w:firstLine="851"/>
        <w:rPr>
          <w:sz w:val="22"/>
          <w:szCs w:val="22"/>
          <w:lang w:val="uk-UA" w:eastAsia="ar-SA"/>
        </w:rPr>
      </w:pPr>
      <w:r>
        <w:rPr>
          <w:sz w:val="22"/>
          <w:szCs w:val="22"/>
          <w:lang w:val="uk-UA" w:eastAsia="ar-SA"/>
        </w:rPr>
        <w:t xml:space="preserve">2. </w:t>
      </w:r>
      <w:r>
        <w:rPr>
          <w:sz w:val="22"/>
          <w:szCs w:val="22"/>
          <w:lang w:val="uk-UA"/>
        </w:rPr>
        <w:t>Дотримання конфіденційності стосовно інформації, отриманої від Замовника в процесі надання послуг.</w:t>
      </w:r>
    </w:p>
    <w:p w:rsidR="009904D8" w:rsidRDefault="009904D8" w:rsidP="009904D8">
      <w:pPr>
        <w:tabs>
          <w:tab w:val="left" w:pos="708"/>
        </w:tabs>
        <w:ind w:firstLine="851"/>
        <w:rPr>
          <w:rFonts w:eastAsia="Calibri"/>
          <w:bCs/>
          <w:sz w:val="22"/>
          <w:szCs w:val="22"/>
          <w:lang w:val="uk-UA" w:eastAsia="ar-SA"/>
        </w:rPr>
      </w:pPr>
      <w:r>
        <w:rPr>
          <w:rFonts w:eastAsia="Calibri"/>
          <w:bCs/>
          <w:sz w:val="22"/>
          <w:szCs w:val="22"/>
          <w:lang w:val="uk-UA" w:eastAsia="ar-SA"/>
        </w:rPr>
        <w:t>3  Послуги з аудиту  фінансової звітності Замовника станом на 31.12.1</w:t>
      </w:r>
      <w:r w:rsidRPr="009904D8">
        <w:rPr>
          <w:rFonts w:eastAsia="Calibri"/>
          <w:bCs/>
          <w:sz w:val="22"/>
          <w:szCs w:val="22"/>
          <w:lang w:eastAsia="ar-SA"/>
        </w:rPr>
        <w:t>9</w:t>
      </w:r>
      <w:r>
        <w:rPr>
          <w:rFonts w:eastAsia="Calibri"/>
          <w:bCs/>
          <w:sz w:val="22"/>
          <w:szCs w:val="22"/>
          <w:lang w:val="uk-UA" w:eastAsia="ar-SA"/>
        </w:rPr>
        <w:t>р.</w:t>
      </w:r>
      <w:r>
        <w:rPr>
          <w:rFonts w:eastAsia="Calibri"/>
          <w:sz w:val="22"/>
          <w:szCs w:val="22"/>
          <w:lang w:val="uk-UA" w:eastAsia="uk-UA"/>
        </w:rPr>
        <w:t>, складеної відповідно до положень МСФЗ, послуги з надання впевненості щодо звітних даних страховика за 201</w:t>
      </w:r>
      <w:r w:rsidRPr="009904D8">
        <w:rPr>
          <w:rFonts w:eastAsia="Calibri"/>
          <w:sz w:val="22"/>
          <w:szCs w:val="22"/>
          <w:lang w:eastAsia="uk-UA"/>
        </w:rPr>
        <w:t>9</w:t>
      </w:r>
      <w:r>
        <w:rPr>
          <w:rFonts w:eastAsia="Calibri"/>
          <w:sz w:val="22"/>
          <w:szCs w:val="22"/>
          <w:lang w:val="uk-UA" w:eastAsia="uk-UA"/>
        </w:rPr>
        <w:t xml:space="preserve"> рік</w:t>
      </w:r>
      <w:r>
        <w:rPr>
          <w:rFonts w:eastAsia="Calibri"/>
          <w:bCs/>
          <w:sz w:val="22"/>
          <w:szCs w:val="22"/>
          <w:lang w:val="uk-UA" w:eastAsia="ar-SA"/>
        </w:rPr>
        <w:t xml:space="preserve"> з дати укладання договору та не пізніше 12 березня 20</w:t>
      </w:r>
      <w:proofErr w:type="spellStart"/>
      <w:r w:rsidRPr="009904D8">
        <w:rPr>
          <w:rFonts w:eastAsia="Calibri"/>
          <w:bCs/>
          <w:sz w:val="22"/>
          <w:szCs w:val="22"/>
          <w:lang w:eastAsia="ar-SA"/>
        </w:rPr>
        <w:t>20</w:t>
      </w:r>
      <w:proofErr w:type="spellEnd"/>
      <w:r>
        <w:rPr>
          <w:rFonts w:eastAsia="Calibri"/>
          <w:bCs/>
          <w:sz w:val="22"/>
          <w:szCs w:val="22"/>
          <w:lang w:val="uk-UA" w:eastAsia="ar-SA"/>
        </w:rPr>
        <w:t xml:space="preserve"> р.</w:t>
      </w:r>
    </w:p>
    <w:p w:rsidR="009904D8" w:rsidRDefault="009904D8" w:rsidP="009904D8">
      <w:pPr>
        <w:tabs>
          <w:tab w:val="left" w:pos="0"/>
        </w:tabs>
        <w:ind w:firstLine="85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5 Строк виправлення (усунення) дефектів (недоліків), що виникли при наданні послуг наступний: протягом 5-ти календарних днів, окрім випадків, коли зауваження обмежуватимуть незалежність аудитора у наданні Аудиторського звіту для погодження із Замовником, при цьому строк надання послуг (строк надання остаточного Аудиторського звіту) може бути перенесений за письмовим погодженням  з Замовником.</w:t>
      </w:r>
    </w:p>
    <w:p w:rsidR="009904D8" w:rsidRDefault="009904D8" w:rsidP="009904D8">
      <w:pPr>
        <w:tabs>
          <w:tab w:val="left" w:pos="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Умови оплати:   </w:t>
      </w:r>
    </w:p>
    <w:p w:rsidR="009904D8" w:rsidRDefault="009904D8" w:rsidP="009904D8">
      <w:pPr>
        <w:tabs>
          <w:tab w:val="left" w:pos="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-  50%  вартості послуг передплата, сплачується на підставі рахунку; </w:t>
      </w:r>
    </w:p>
    <w:p w:rsidR="009904D8" w:rsidRDefault="009904D8" w:rsidP="009904D8">
      <w:pPr>
        <w:tabs>
          <w:tab w:val="left" w:pos="0"/>
        </w:tabs>
        <w:rPr>
          <w:sz w:val="22"/>
          <w:szCs w:val="22"/>
          <w:lang w:val="uk-UA" w:eastAsia="ko-KR"/>
        </w:rPr>
      </w:pPr>
      <w:r>
        <w:rPr>
          <w:sz w:val="22"/>
          <w:szCs w:val="22"/>
          <w:lang w:val="uk-UA"/>
        </w:rPr>
        <w:t xml:space="preserve">- 50% вартості Договору </w:t>
      </w:r>
      <w:r>
        <w:rPr>
          <w:sz w:val="22"/>
          <w:szCs w:val="22"/>
          <w:lang w:val="uk-UA" w:eastAsia="ko-KR"/>
        </w:rPr>
        <w:t xml:space="preserve">за надані послуги проводяться після підписання Акту приймання передачі наданих послуг. </w:t>
      </w:r>
    </w:p>
    <w:p w:rsidR="009904D8" w:rsidRDefault="009904D8" w:rsidP="009904D8">
      <w:pPr>
        <w:rPr>
          <w:sz w:val="22"/>
          <w:szCs w:val="22"/>
          <w:lang w:val="uk-UA"/>
        </w:rPr>
      </w:pPr>
      <w:r>
        <w:rPr>
          <w:rFonts w:eastAsia="Calibri"/>
          <w:bCs/>
          <w:sz w:val="22"/>
          <w:szCs w:val="22"/>
          <w:lang w:val="uk-UA" w:eastAsia="ar-SA"/>
        </w:rPr>
        <w:t>Місце надання послуг: м. Київ, пл. Солом’янська 2, офіс 703.</w:t>
      </w:r>
    </w:p>
    <w:p w:rsidR="009904D8" w:rsidRDefault="009904D8" w:rsidP="009904D8">
      <w:pPr>
        <w:ind w:firstLine="708"/>
        <w:jc w:val="lef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Термін надання/виконання послуг  з підготовки звіту аудитора щодо   річної фінансової звітності </w:t>
      </w:r>
      <w:proofErr w:type="spellStart"/>
      <w:r>
        <w:rPr>
          <w:sz w:val="22"/>
          <w:szCs w:val="22"/>
          <w:lang w:val="uk-UA"/>
        </w:rPr>
        <w:t>ПрАТ</w:t>
      </w:r>
      <w:proofErr w:type="spellEnd"/>
      <w:r>
        <w:rPr>
          <w:sz w:val="22"/>
          <w:szCs w:val="22"/>
          <w:lang w:val="uk-UA"/>
        </w:rPr>
        <w:t xml:space="preserve"> «СК «Київська Русь» станом на 31.12.2019р.:  початок:  з дня підписання договору;</w:t>
      </w:r>
    </w:p>
    <w:p w:rsidR="009904D8" w:rsidRDefault="009904D8" w:rsidP="009904D8">
      <w:pPr>
        <w:ind w:firstLine="0"/>
        <w:jc w:val="lef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закінчення: 12 березня 2019р.</w:t>
      </w:r>
    </w:p>
    <w:p w:rsidR="005F2057" w:rsidRDefault="009904D8" w:rsidP="005F2057">
      <w:pPr>
        <w:ind w:firstLine="708"/>
        <w:jc w:val="lef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Термін   дії договору </w:t>
      </w:r>
      <w:r w:rsidR="005F2057">
        <w:rPr>
          <w:sz w:val="22"/>
          <w:szCs w:val="22"/>
          <w:lang w:val="uk-UA"/>
        </w:rPr>
        <w:t>з аудитором</w:t>
      </w:r>
      <w:r>
        <w:rPr>
          <w:sz w:val="22"/>
          <w:szCs w:val="22"/>
          <w:lang w:val="uk-UA"/>
        </w:rPr>
        <w:t xml:space="preserve">   </w:t>
      </w:r>
      <w:r w:rsidR="005F2057">
        <w:rPr>
          <w:sz w:val="22"/>
          <w:szCs w:val="22"/>
          <w:lang w:val="uk-UA"/>
        </w:rPr>
        <w:t>:  з дня підписання договору;</w:t>
      </w:r>
    </w:p>
    <w:p w:rsidR="009904D8" w:rsidRDefault="005F2057" w:rsidP="005F2057">
      <w:pPr>
        <w:ind w:firstLine="0"/>
        <w:jc w:val="lef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закінчення: </w:t>
      </w:r>
      <w:r w:rsidR="009904D8">
        <w:rPr>
          <w:sz w:val="22"/>
          <w:szCs w:val="22"/>
          <w:lang w:val="uk-UA"/>
        </w:rPr>
        <w:t xml:space="preserve">   </w:t>
      </w:r>
      <w:r w:rsidR="009904D8" w:rsidRPr="009904D8">
        <w:rPr>
          <w:sz w:val="22"/>
          <w:szCs w:val="22"/>
        </w:rPr>
        <w:t>31груд</w:t>
      </w:r>
      <w:proofErr w:type="spellStart"/>
      <w:r w:rsidR="009904D8">
        <w:rPr>
          <w:sz w:val="22"/>
          <w:szCs w:val="22"/>
          <w:lang w:val="uk-UA"/>
        </w:rPr>
        <w:t>ня</w:t>
      </w:r>
      <w:proofErr w:type="spellEnd"/>
      <w:r w:rsidR="009904D8">
        <w:rPr>
          <w:sz w:val="22"/>
          <w:szCs w:val="22"/>
          <w:lang w:val="uk-UA"/>
        </w:rPr>
        <w:t xml:space="preserve"> 2020 року. </w:t>
      </w:r>
    </w:p>
    <w:p w:rsidR="009904D8" w:rsidRDefault="009904D8" w:rsidP="009904D8">
      <w:pPr>
        <w:ind w:firstLine="0"/>
        <w:rPr>
          <w:sz w:val="22"/>
          <w:szCs w:val="22"/>
          <w:lang w:val="uk-UA"/>
        </w:rPr>
      </w:pPr>
    </w:p>
    <w:p w:rsidR="009904D8" w:rsidRDefault="009904D8" w:rsidP="009904D8">
      <w:pPr>
        <w:ind w:firstLine="0"/>
        <w:rPr>
          <w:sz w:val="22"/>
          <w:szCs w:val="22"/>
          <w:lang w:val="uk-UA"/>
        </w:rPr>
      </w:pPr>
    </w:p>
    <w:p w:rsidR="004B7BA1" w:rsidRDefault="004B7BA1"/>
    <w:sectPr w:rsidR="004B7BA1" w:rsidSect="004B7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904D8"/>
    <w:rsid w:val="004B7BA1"/>
    <w:rsid w:val="005F2057"/>
    <w:rsid w:val="007C15C9"/>
    <w:rsid w:val="0099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D8"/>
    <w:pPr>
      <w:spacing w:after="0" w:line="240" w:lineRule="auto"/>
      <w:ind w:firstLine="709"/>
      <w:jc w:val="both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9904D8"/>
    <w:rPr>
      <w:rFonts w:ascii="Helvetica" w:eastAsia="Lucida Sans Unicode" w:hAnsi="Helvetica" w:cs="Helvetica"/>
      <w:color w:val="000044"/>
      <w:lang w:bidi="en-US"/>
    </w:rPr>
  </w:style>
  <w:style w:type="paragraph" w:styleId="a4">
    <w:name w:val="Normal (Web)"/>
    <w:basedOn w:val="a"/>
    <w:link w:val="a3"/>
    <w:uiPriority w:val="99"/>
    <w:semiHidden/>
    <w:unhideWhenUsed/>
    <w:rsid w:val="009904D8"/>
    <w:pPr>
      <w:widowControl w:val="0"/>
      <w:suppressAutoHyphens/>
      <w:spacing w:before="150"/>
      <w:ind w:firstLine="0"/>
    </w:pPr>
    <w:rPr>
      <w:rFonts w:ascii="Helvetica" w:eastAsia="Lucida Sans Unicode" w:hAnsi="Helvetica" w:cs="Helvetica"/>
      <w:color w:val="000044"/>
      <w:sz w:val="24"/>
      <w:szCs w:val="24"/>
      <w:lang w:eastAsia="en-US" w:bidi="en-US"/>
    </w:rPr>
  </w:style>
  <w:style w:type="character" w:customStyle="1" w:styleId="a5">
    <w:name w:val="Без интервала Знак"/>
    <w:link w:val="a6"/>
    <w:locked/>
    <w:rsid w:val="009904D8"/>
    <w:rPr>
      <w:rFonts w:ascii="Calibri" w:eastAsia="Calibri" w:hAnsi="Calibri"/>
      <w:sz w:val="22"/>
      <w:szCs w:val="22"/>
      <w:lang w:val="ru-RU"/>
    </w:rPr>
  </w:style>
  <w:style w:type="paragraph" w:styleId="a6">
    <w:name w:val="No Spacing"/>
    <w:link w:val="a5"/>
    <w:qFormat/>
    <w:rsid w:val="009904D8"/>
    <w:pPr>
      <w:spacing w:after="0" w:line="240" w:lineRule="auto"/>
    </w:pPr>
    <w:rPr>
      <w:rFonts w:ascii="Calibri" w:eastAsia="Calibri" w:hAnsi="Calibri"/>
      <w:sz w:val="22"/>
      <w:szCs w:val="22"/>
      <w:lang w:val="ru-RU"/>
    </w:rPr>
  </w:style>
  <w:style w:type="paragraph" w:customStyle="1" w:styleId="Default">
    <w:name w:val="Default"/>
    <w:uiPriority w:val="99"/>
    <w:semiHidden/>
    <w:rsid w:val="009904D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4910</Words>
  <Characters>2799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 "Київська Русь"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2020-01-16T07:59:00Z</dcterms:created>
  <dcterms:modified xsi:type="dcterms:W3CDTF">2020-01-16T08:10:00Z</dcterms:modified>
</cp:coreProperties>
</file>